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552" w:type="dxa"/>
        <w:tblInd w:w="-46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0"/>
        <w:gridCol w:w="840"/>
        <w:gridCol w:w="915"/>
        <w:gridCol w:w="2531"/>
        <w:gridCol w:w="739"/>
        <w:gridCol w:w="37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552"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u w:val="none"/>
              </w:rPr>
            </w:pPr>
            <w:r>
              <w:rPr>
                <w:rFonts w:hint="eastAsia" w:ascii="宋体" w:hAnsi="宋体" w:eastAsia="宋体" w:cs="宋体"/>
                <w:b/>
                <w:bCs/>
                <w:i w:val="0"/>
                <w:iCs w:val="0"/>
                <w:color w:val="auto"/>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52"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Style w:val="4"/>
                <w:rFonts w:eastAsia="宋体"/>
                <w:color w:val="auto"/>
                <w:lang w:val="en-US" w:eastAsia="zh-CN" w:bidi="ar"/>
              </w:rPr>
              <w:t>2026</w:t>
            </w:r>
            <w:r>
              <w:rPr>
                <w:rStyle w:val="5"/>
                <w:color w:val="auto"/>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项目名称</w:t>
            </w:r>
          </w:p>
        </w:tc>
        <w:tc>
          <w:tcPr>
            <w:tcW w:w="7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医疗运转经费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预算单位</w:t>
            </w:r>
          </w:p>
        </w:tc>
        <w:tc>
          <w:tcPr>
            <w:tcW w:w="79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lang w:eastAsia="zh-CN"/>
              </w:rPr>
            </w:pPr>
            <w:r>
              <w:rPr>
                <w:rFonts w:hint="eastAsia" w:ascii="宋体" w:hAnsi="宋体" w:eastAsia="宋体" w:cs="宋体"/>
                <w:i w:val="0"/>
                <w:iCs w:val="0"/>
                <w:color w:val="auto"/>
                <w:sz w:val="24"/>
                <w:szCs w:val="24"/>
                <w:u w:val="none"/>
                <w:lang w:eastAsia="zh-CN"/>
              </w:rPr>
              <w:t>攀枝花市仁和区人民医院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项目资金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（万元）</w:t>
            </w:r>
          </w:p>
        </w:tc>
        <w:tc>
          <w:tcPr>
            <w:tcW w:w="3446"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年度资金总额:</w:t>
            </w:r>
          </w:p>
        </w:tc>
        <w:tc>
          <w:tcPr>
            <w:tcW w:w="4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16000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446"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其中：财政拨款</w:t>
            </w:r>
          </w:p>
        </w:tc>
        <w:tc>
          <w:tcPr>
            <w:tcW w:w="4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446"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其他资金</w:t>
            </w:r>
          </w:p>
        </w:tc>
        <w:tc>
          <w:tcPr>
            <w:tcW w:w="4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16000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6"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r>
              <w:rPr>
                <w:rFonts w:ascii="宋体" w:hAnsi="宋体" w:eastAsia="宋体" w:cs="宋体"/>
                <w:spacing w:val="33"/>
                <w:sz w:val="24"/>
                <w:szCs w:val="24"/>
              </w:rPr>
              <w:t>总体目标</w:t>
            </w:r>
          </w:p>
        </w:tc>
        <w:tc>
          <w:tcPr>
            <w:tcW w:w="874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深化公立医院综合改革，建立健全现代医院管理制度，协调推进医疗价格、人事薪酬、药品流通、医保支付改革，提高医疗卫生服务质量。推动落实各项公立医院综合改革任务，引导公立医院持续提升医疗服务能力，不断强化医疗服务质量，补齐专业专科短板，构建优质高效整合型医疗卫生服务系统。减轻群众经济负担，满足群众医疗卫生服务需求，改善就医环境，巩固等级医院的建设，服务质量持续改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绩效指标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二级指标</w:t>
            </w: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三级指标</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4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项目完成</w:t>
            </w:r>
          </w:p>
        </w:tc>
        <w:tc>
          <w:tcPr>
            <w:tcW w:w="91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数量指标</w:t>
            </w: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color w:val="000000"/>
                <w:kern w:val="0"/>
                <w:sz w:val="24"/>
                <w:szCs w:val="24"/>
                <w:u w:val="none"/>
                <w:lang w:val="en-US" w:eastAsia="zh-CN" w:bidi="ar"/>
              </w:rPr>
              <w:t>满足全院职工工资及绩效工资的发放</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eastAsia="zh-CN"/>
              </w:rPr>
              <w:t>全院职工</w:t>
            </w:r>
            <w:r>
              <w:rPr>
                <w:rFonts w:hint="eastAsia" w:ascii="宋体" w:hAnsi="宋体" w:eastAsia="宋体" w:cs="宋体"/>
                <w:i w:val="0"/>
                <w:iCs w:val="0"/>
                <w:color w:val="auto"/>
                <w:sz w:val="24"/>
                <w:szCs w:val="24"/>
                <w:u w:val="none"/>
                <w:lang w:val="en-US" w:eastAsia="zh-CN"/>
              </w:rPr>
              <w:t>441人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4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color w:val="000000"/>
                <w:kern w:val="0"/>
                <w:sz w:val="24"/>
                <w:szCs w:val="24"/>
                <w:u w:val="none"/>
                <w:lang w:val="en-US" w:eastAsia="zh-CN" w:bidi="ar"/>
              </w:rPr>
              <w:t>为患者提供优质医疗服务</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年门诊量≥31万人；年住院量≥1.8万人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4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1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质量指标</w:t>
            </w: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满足群众就医需求</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患者及时就医率≥95%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4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按时发放工资及绩效工资，缴纳各种保险及公积金</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职工工资发放率=100%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4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卫材、药品支付率</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按规定执行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4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时效指标</w:t>
            </w: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lang w:eastAsia="zh-CN"/>
              </w:rPr>
            </w:pPr>
            <w:r>
              <w:rPr>
                <w:rFonts w:hint="eastAsia" w:ascii="宋体" w:hAnsi="宋体" w:eastAsia="宋体" w:cs="宋体"/>
                <w:i w:val="0"/>
                <w:iCs w:val="0"/>
                <w:color w:val="auto"/>
                <w:sz w:val="24"/>
                <w:szCs w:val="24"/>
                <w:u w:val="none"/>
                <w:lang w:eastAsia="zh-CN"/>
              </w:rPr>
              <w:t>按工作计划</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2026年全年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4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成本指标</w:t>
            </w: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医疗运转经费</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16000万元，包括人员经费8000万元；维修维护费100万元；专用材料费5500万元；其他商品和服务支出400万元等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项目效益</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社会效益</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推进公立医院综合改革，改善就医环境，降低患者医药费用负担，承担起公益性机构应尽的社会责任</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群众对医院总体满意度有提升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满意度指标</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满意度指标</w:t>
            </w: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患者满意度</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职工满意度</w:t>
            </w:r>
          </w:p>
        </w:tc>
        <w:tc>
          <w:tcPr>
            <w:tcW w:w="37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≥9</w:t>
            </w:r>
            <w:r>
              <w:rPr>
                <w:rFonts w:hint="eastAsia" w:ascii="宋体" w:hAnsi="宋体" w:eastAsia="宋体" w:cs="宋体"/>
                <w:i w:val="0"/>
                <w:iCs w:val="0"/>
                <w:color w:val="auto"/>
                <w:sz w:val="24"/>
                <w:szCs w:val="24"/>
                <w:u w:val="none"/>
                <w:lang w:val="en-US" w:eastAsia="zh-CN"/>
              </w:rPr>
              <w:t>5</w:t>
            </w:r>
            <w:r>
              <w:rPr>
                <w:rFonts w:hint="eastAsia" w:ascii="宋体" w:hAnsi="宋体" w:eastAsia="宋体" w:cs="宋体"/>
                <w:i w:val="0"/>
                <w:iCs w:val="0"/>
                <w:color w:val="auto"/>
                <w:sz w:val="24"/>
                <w:szCs w:val="24"/>
                <w:u w:val="none"/>
              </w:rPr>
              <w:t>%</w:t>
            </w:r>
          </w:p>
        </w:tc>
      </w:tr>
    </w:tbl>
    <w:p/>
    <w:p/>
    <w:p/>
    <w:p/>
    <w:p/>
    <w:p/>
    <w:tbl>
      <w:tblPr>
        <w:tblStyle w:val="2"/>
        <w:tblW w:w="9975" w:type="dxa"/>
        <w:tblInd w:w="-71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0"/>
        <w:gridCol w:w="735"/>
        <w:gridCol w:w="1410"/>
        <w:gridCol w:w="2394"/>
        <w:gridCol w:w="756"/>
        <w:gridCol w:w="3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9975"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u w:val="none"/>
              </w:rPr>
            </w:pPr>
            <w:r>
              <w:rPr>
                <w:rFonts w:hint="eastAsia" w:ascii="宋体" w:hAnsi="宋体" w:eastAsia="宋体" w:cs="宋体"/>
                <w:b/>
                <w:bCs/>
                <w:i w:val="0"/>
                <w:iCs w:val="0"/>
                <w:color w:val="auto"/>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975"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Style w:val="4"/>
                <w:rFonts w:eastAsia="宋体"/>
                <w:color w:val="auto"/>
                <w:lang w:val="en-US" w:eastAsia="zh-CN" w:bidi="ar"/>
              </w:rPr>
              <w:t>2026</w:t>
            </w:r>
            <w:r>
              <w:rPr>
                <w:rStyle w:val="6"/>
                <w:color w:val="auto"/>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trPr>
        <w:tc>
          <w:tcPr>
            <w:tcW w:w="15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项目名称</w:t>
            </w:r>
          </w:p>
        </w:tc>
        <w:tc>
          <w:tcPr>
            <w:tcW w:w="84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仁和医院中医药特色专科发展补助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5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预算单位</w:t>
            </w:r>
          </w:p>
        </w:tc>
        <w:tc>
          <w:tcPr>
            <w:tcW w:w="84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攀枝花市仁和区人民医院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 w:hRule="atLeast"/>
        </w:trPr>
        <w:tc>
          <w:tcPr>
            <w:tcW w:w="15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项目资金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（万元）</w:t>
            </w:r>
          </w:p>
        </w:tc>
        <w:tc>
          <w:tcPr>
            <w:tcW w:w="380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年度资金总额:</w:t>
            </w:r>
          </w:p>
        </w:tc>
        <w:tc>
          <w:tcPr>
            <w:tcW w:w="46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80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其中：财政拨款</w:t>
            </w:r>
          </w:p>
        </w:tc>
        <w:tc>
          <w:tcPr>
            <w:tcW w:w="46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80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其他资金</w:t>
            </w:r>
          </w:p>
        </w:tc>
        <w:tc>
          <w:tcPr>
            <w:tcW w:w="46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6"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r>
              <w:rPr>
                <w:rFonts w:ascii="宋体" w:hAnsi="宋体" w:eastAsia="宋体" w:cs="宋体"/>
                <w:spacing w:val="33"/>
                <w:sz w:val="24"/>
                <w:szCs w:val="24"/>
              </w:rPr>
              <w:t>总体目标</w:t>
            </w:r>
          </w:p>
        </w:tc>
        <w:tc>
          <w:tcPr>
            <w:tcW w:w="9165"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中医药特色专科发展补助以提升中医临床疗效、彰显中医药特色优势为核心，以分层级推进专科建设为抓手，通过资金支持撬动优质中医药资源扩容与布局优化，逐步构建专业领域完整、地域覆盖广泛、结构布局合理的中医药特色专科网络。重点扶持国家、省、市、县级特色专科梯次发展，培育一批以“专病、专家、专药”为核心的品牌专科，持续壮大高素质中医药专业人才队伍，增强专科科研创新与成果转化能力，提升重大疾病中医药诊疗水平，最终以特色专科建设引领中医医院高质量发展，不断满足人民群众日益增长的优质中医药服务需求，为健康中国建设提供坚实的中医药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绩效指标</w:t>
            </w:r>
          </w:p>
        </w:tc>
        <w:tc>
          <w:tcPr>
            <w:tcW w:w="73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二级指标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三级指标</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81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项目完成</w:t>
            </w:r>
          </w:p>
        </w:tc>
        <w:tc>
          <w:tcPr>
            <w:tcW w:w="1410" w:type="dxa"/>
            <w:vMerge w:val="restart"/>
            <w:tcBorders>
              <w:top w:val="single" w:color="000000" w:sz="4" w:space="0"/>
              <w:left w:val="single" w:color="auto"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数量指标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购置科室专用设备</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≥1件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vMerge w:val="continue"/>
            <w:tcBorders>
              <w:top w:val="single" w:color="000000" w:sz="4" w:space="0"/>
              <w:left w:val="single" w:color="auto"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用于支持医院发展日常开支</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支付设备维修维保、购买中医科专用设备等日常费用，确保医院正常运转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81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tcBorders>
              <w:top w:val="single" w:color="000000" w:sz="4" w:space="0"/>
              <w:left w:val="single" w:color="auto"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质量指标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特色专科开展率</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81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时效指标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按工作计划</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2026年全年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成本指标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特色专科发展补助资金</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200万元，体感式情景训练系统25万元主要用于让体验者在沉浸式体验中完成针对性训练；电子生物反馈治疗仪20万元通过实时反馈生理信号，帮助患者进行治疗等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项目效益</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社会效益</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加强区级特色专科发展建设，为辖区居民提供更加优质的医疗服务</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受益群众≥33万人次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满意度指标</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满意度指标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患者满意度</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职工满意度</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≥9</w:t>
            </w:r>
            <w:r>
              <w:rPr>
                <w:rFonts w:hint="eastAsia" w:ascii="宋体" w:hAnsi="宋体" w:eastAsia="宋体" w:cs="宋体"/>
                <w:i w:val="0"/>
                <w:iCs w:val="0"/>
                <w:color w:val="auto"/>
                <w:sz w:val="24"/>
                <w:szCs w:val="24"/>
                <w:u w:val="none"/>
                <w:lang w:val="en-US" w:eastAsia="zh-CN"/>
              </w:rPr>
              <w:t>5</w:t>
            </w:r>
            <w:r>
              <w:rPr>
                <w:rFonts w:hint="eastAsia" w:ascii="宋体" w:hAnsi="宋体" w:eastAsia="宋体" w:cs="宋体"/>
                <w:i w:val="0"/>
                <w:iCs w:val="0"/>
                <w:color w:val="auto"/>
                <w:sz w:val="24"/>
                <w:szCs w:val="24"/>
                <w:u w:val="none"/>
              </w:rPr>
              <w:t>%</w:t>
            </w:r>
          </w:p>
        </w:tc>
      </w:tr>
    </w:tbl>
    <w:p/>
    <w:p/>
    <w:p/>
    <w:p/>
    <w:tbl>
      <w:tblPr>
        <w:tblStyle w:val="2"/>
        <w:tblpPr w:leftFromText="180" w:rightFromText="180" w:vertAnchor="text" w:horzAnchor="page" w:tblpX="1269" w:tblpY="189"/>
        <w:tblOverlap w:val="never"/>
        <w:tblW w:w="99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0"/>
        <w:gridCol w:w="735"/>
        <w:gridCol w:w="1410"/>
        <w:gridCol w:w="2394"/>
        <w:gridCol w:w="756"/>
        <w:gridCol w:w="3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9975"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u w:val="none"/>
              </w:rPr>
            </w:pPr>
            <w:r>
              <w:rPr>
                <w:rFonts w:hint="eastAsia" w:ascii="宋体" w:hAnsi="宋体" w:eastAsia="宋体" w:cs="宋体"/>
                <w:b/>
                <w:bCs/>
                <w:i w:val="0"/>
                <w:iCs w:val="0"/>
                <w:color w:val="auto"/>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975"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Style w:val="4"/>
                <w:rFonts w:eastAsia="宋体"/>
                <w:color w:val="auto"/>
                <w:lang w:val="en-US" w:eastAsia="zh-CN" w:bidi="ar"/>
              </w:rPr>
              <w:t>2026</w:t>
            </w:r>
            <w:r>
              <w:rPr>
                <w:rStyle w:val="6"/>
                <w:color w:val="auto"/>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15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项目名称</w:t>
            </w:r>
          </w:p>
        </w:tc>
        <w:tc>
          <w:tcPr>
            <w:tcW w:w="84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区级公立医院取消药品加成财政补助资金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154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预算单位</w:t>
            </w:r>
          </w:p>
        </w:tc>
        <w:tc>
          <w:tcPr>
            <w:tcW w:w="84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攀枝花市仁和区人民医院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15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项目资金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（万元）</w:t>
            </w:r>
          </w:p>
        </w:tc>
        <w:tc>
          <w:tcPr>
            <w:tcW w:w="380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年度资金总额:</w:t>
            </w:r>
          </w:p>
        </w:tc>
        <w:tc>
          <w:tcPr>
            <w:tcW w:w="46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38.43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80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其中：财政拨款</w:t>
            </w:r>
          </w:p>
        </w:tc>
        <w:tc>
          <w:tcPr>
            <w:tcW w:w="46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38.43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80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其他资金</w:t>
            </w:r>
          </w:p>
        </w:tc>
        <w:tc>
          <w:tcPr>
            <w:tcW w:w="46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57"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r>
              <w:rPr>
                <w:rFonts w:ascii="宋体" w:hAnsi="宋体" w:eastAsia="宋体" w:cs="宋体"/>
                <w:spacing w:val="33"/>
                <w:sz w:val="24"/>
                <w:szCs w:val="24"/>
              </w:rPr>
              <w:t>总体目标</w:t>
            </w:r>
          </w:p>
        </w:tc>
        <w:tc>
          <w:tcPr>
            <w:tcW w:w="9165"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贯彻四川省发展和改革委员会 四川省财政厅 四川省卫生厅 四川省人力资源和社会保障厅 四川省中医药管理局《关于印发四川省县级公立医院取消药品加成经费补偿办法的通知》 （川发改价格[2013]937号）及关于转发《关于印发四川省县级公里医院取消药品加成经费补偿办法的通知》的通知（攀发改价格[2013]116号）通过落实政府办医责任、调整医疗服务价格、改革收费方式以加强公立医院成本管理等综合措施和联动政策，破除“以药补医”机制，切实做好降低患者医药费用负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绩效指标</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二级指标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三级指标</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4"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项目完成</w:t>
            </w:r>
          </w:p>
        </w:tc>
        <w:tc>
          <w:tcPr>
            <w:tcW w:w="141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数量指标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降低患者医药费用负担，满足患者就医需求</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年门诊量≥31万人；年住院量≥1.8万人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多个科室使用加成补助费用</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科室量≥8个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质量指标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销售药品符合国家食品药品监督管理总局规定</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按规定落实药品加成政策，药品质量合格率达100%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药品存储保管坚持安全储存、保证质量、降低损耗、避免事故的基本工作原则</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药品完好率100%，中药饮片95%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时效指标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按工作计划</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2026年全年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成本指标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区级取消药品加成财政补助资金</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38.43万元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项目效益</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社会效益</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节约患者就医成本，承担公益性医疗机构应尽的社会责任</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降低我区患者就医负担效果显著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提升医生医疗服务水平</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医疗服务水平逐步提升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满意度指标</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满意度指标</w:t>
            </w: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lang w:eastAsia="zh-CN"/>
              </w:rPr>
            </w:pPr>
            <w:r>
              <w:rPr>
                <w:rFonts w:hint="eastAsia" w:ascii="宋体" w:hAnsi="宋体" w:eastAsia="宋体" w:cs="宋体"/>
                <w:i w:val="0"/>
                <w:iCs w:val="0"/>
                <w:color w:val="auto"/>
                <w:sz w:val="24"/>
                <w:szCs w:val="24"/>
                <w:u w:val="none"/>
                <w:lang w:eastAsia="zh-CN"/>
              </w:rPr>
              <w:t>患者满意度</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3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lang w:eastAsia="zh-CN"/>
              </w:rPr>
            </w:pPr>
            <w:r>
              <w:rPr>
                <w:rFonts w:hint="eastAsia" w:ascii="宋体" w:hAnsi="宋体" w:eastAsia="宋体" w:cs="宋体"/>
                <w:i w:val="0"/>
                <w:iCs w:val="0"/>
                <w:color w:val="auto"/>
                <w:sz w:val="24"/>
                <w:szCs w:val="24"/>
                <w:u w:val="none"/>
                <w:lang w:eastAsia="zh-CN"/>
              </w:rPr>
              <w:t>职工满意度</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≥95%</w:t>
            </w:r>
          </w:p>
        </w:tc>
      </w:tr>
    </w:tbl>
    <w:p/>
    <w:p/>
    <w:p>
      <w:bookmarkStart w:id="0" w:name="_GoBack"/>
      <w:bookmarkEnd w:id="0"/>
    </w:p>
    <w:tbl>
      <w:tblPr>
        <w:tblStyle w:val="2"/>
        <w:tblpPr w:leftFromText="180" w:rightFromText="180" w:vertAnchor="text" w:horzAnchor="page" w:tblpX="863" w:tblpY="35"/>
        <w:tblOverlap w:val="never"/>
        <w:tblW w:w="100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03"/>
        <w:gridCol w:w="1027"/>
        <w:gridCol w:w="1380"/>
        <w:gridCol w:w="2"/>
        <w:gridCol w:w="3528"/>
        <w:gridCol w:w="3372"/>
        <w:gridCol w:w="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28" w:type="dxa"/>
          <w:trHeight w:val="679" w:hRule="atLeast"/>
          <w:jc w:val="center"/>
        </w:trPr>
        <w:tc>
          <w:tcPr>
            <w:tcW w:w="10012" w:type="dxa"/>
            <w:gridSpan w:val="6"/>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28" w:type="dxa"/>
          <w:trHeight w:val="355" w:hRule="atLeast"/>
          <w:jc w:val="center"/>
        </w:trPr>
        <w:tc>
          <w:tcPr>
            <w:tcW w:w="10012" w:type="dxa"/>
            <w:gridSpan w:val="6"/>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r>
              <w:rPr>
                <w:rStyle w:val="7"/>
                <w:rFonts w:eastAsia="宋体"/>
                <w:lang w:val="en-US" w:eastAsia="zh-CN" w:bidi="ar"/>
              </w:rPr>
              <w:t>2026</w:t>
            </w:r>
            <w:r>
              <w:rPr>
                <w:rStyle w:val="8"/>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5" w:hRule="atLeast"/>
          <w:jc w:val="center"/>
        </w:trPr>
        <w:tc>
          <w:tcPr>
            <w:tcW w:w="3110" w:type="dxa"/>
            <w:gridSpan w:val="3"/>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项目名称</w:t>
            </w:r>
          </w:p>
        </w:tc>
        <w:tc>
          <w:tcPr>
            <w:tcW w:w="69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公立医院改革与高质量发展资金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5" w:hRule="atLeast"/>
          <w:jc w:val="center"/>
        </w:trPr>
        <w:tc>
          <w:tcPr>
            <w:tcW w:w="3110" w:type="dxa"/>
            <w:gridSpan w:val="3"/>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预算单位</w:t>
            </w:r>
          </w:p>
        </w:tc>
        <w:tc>
          <w:tcPr>
            <w:tcW w:w="69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攀枝花市仁和区人民医院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5" w:hRule="atLeast"/>
          <w:jc w:val="center"/>
        </w:trPr>
        <w:tc>
          <w:tcPr>
            <w:tcW w:w="311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（万元）</w:t>
            </w:r>
          </w:p>
        </w:tc>
        <w:tc>
          <w:tcPr>
            <w:tcW w:w="3530" w:type="dxa"/>
            <w:gridSpan w:val="2"/>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年度资金总额:</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5" w:hRule="atLeast"/>
          <w:jc w:val="center"/>
        </w:trPr>
        <w:tc>
          <w:tcPr>
            <w:tcW w:w="31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530" w:type="dxa"/>
            <w:gridSpan w:val="2"/>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其中：财政拨款</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5" w:hRule="atLeast"/>
          <w:jc w:val="center"/>
        </w:trPr>
        <w:tc>
          <w:tcPr>
            <w:tcW w:w="31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530" w:type="dxa"/>
            <w:gridSpan w:val="2"/>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其他资金</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3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总</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体</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目</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标</w:t>
            </w:r>
          </w:p>
        </w:tc>
        <w:tc>
          <w:tcPr>
            <w:tcW w:w="9337"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rPr>
              <w:t>公立医院改革与高质量发展资金项目聚焦临床服务能力提升与医疗服务体系优化，以专项临床重点专科建设、医学影像中心建设、医共体病理诊断中心建设及乡村急救网络建设为核心抓手，通过精准资金投入，推动优质医疗资源纵向流动与区域均衡布局。着力打造技术领先、特色鲜明的临床重点专科，建成标准化、智能化的医学影像与区域病理诊断中心，织密覆盖城乡、反应迅速的乡村急救网络，全面提升公立医院诊疗水平、区域医疗资源共享效率和基层急危重症救治能力，构建分级诊疗有序、上下联动高效、服务能力优质的整合型医疗卫生服务体系，切实保障人民群众就近享有公平可及、系统连续的高质量医疗服务</w:t>
            </w:r>
            <w:r>
              <w:rPr>
                <w:rFonts w:hint="eastAsia" w:ascii="宋体" w:hAnsi="宋体" w:eastAsia="宋体" w:cs="宋体"/>
                <w:i w:val="0"/>
                <w:color w:val="000000"/>
                <w:sz w:val="24"/>
                <w:szCs w:val="24"/>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9" w:hRule="atLeast"/>
          <w:jc w:val="center"/>
        </w:trPr>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绩效指标</w:t>
            </w:r>
          </w:p>
        </w:tc>
        <w:tc>
          <w:tcPr>
            <w:tcW w:w="102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1382"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3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49" w:hRule="atLeast"/>
          <w:jc w:val="center"/>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27"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项目完成</w:t>
            </w:r>
          </w:p>
        </w:tc>
        <w:tc>
          <w:tcPr>
            <w:tcW w:w="13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3528" w:type="dxa"/>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降低患者医药费用负担，满足患者就医需求</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年门诊量≥31</w:t>
            </w:r>
            <w:r>
              <w:rPr>
                <w:rStyle w:val="8"/>
                <w:lang w:val="en-US" w:eastAsia="zh-CN" w:bidi="ar"/>
              </w:rPr>
              <w:t>万人；年住院量</w:t>
            </w:r>
            <w:r>
              <w:rPr>
                <w:rStyle w:val="9"/>
                <w:lang w:val="en-US" w:eastAsia="zh-CN" w:bidi="ar"/>
              </w:rPr>
              <w:t>≥1.8万人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62" w:hRule="atLeast"/>
          <w:jc w:val="center"/>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27"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82" w:type="dxa"/>
            <w:gridSpan w:val="2"/>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质量指标</w:t>
            </w:r>
          </w:p>
        </w:tc>
        <w:tc>
          <w:tcPr>
            <w:tcW w:w="35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推进分级诊疗，优化医疗资源配置</w:t>
            </w:r>
          </w:p>
        </w:tc>
        <w:tc>
          <w:tcPr>
            <w:tcW w:w="3400"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提升我院医疗机构技术水平和服务能力，优化医院运营效率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45" w:hRule="atLeast"/>
          <w:jc w:val="center"/>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27"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82" w:type="dxa"/>
            <w:gridSpan w:val="2"/>
            <w:tcBorders>
              <w:top w:val="single" w:color="auto"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3528" w:type="dxa"/>
            <w:tcBorders>
              <w:top w:val="single" w:color="auto"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按工作计划</w:t>
            </w:r>
          </w:p>
        </w:tc>
        <w:tc>
          <w:tcPr>
            <w:tcW w:w="3400"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2026年全年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0" w:hRule="atLeast"/>
          <w:jc w:val="center"/>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27"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8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352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公立医院改革与高质量发展资金</w:t>
            </w:r>
          </w:p>
        </w:tc>
        <w:tc>
          <w:tcPr>
            <w:tcW w:w="3400"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192.24万元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30" w:hRule="atLeast"/>
          <w:jc w:val="center"/>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27"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82"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352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解决患者看病难题，提高患者满意度，提升患者医疗服务获得感</w:t>
            </w:r>
          </w:p>
        </w:tc>
        <w:tc>
          <w:tcPr>
            <w:tcW w:w="3400"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满足患者就医检查治疗需求，促进公立医院高质量发展，强化专科能力建设，提升医疗服务质量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9" w:hRule="atLeast"/>
          <w:jc w:val="center"/>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27"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82" w:type="dxa"/>
            <w:gridSpan w:val="2"/>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提升医生医疗服务水平</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医疗服务水平逐步提升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5" w:hRule="atLeast"/>
          <w:jc w:val="center"/>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3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3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患者满意度</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职工满意度</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≥95%</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15C25"/>
    <w:rsid w:val="2D4F40B0"/>
    <w:rsid w:val="359A4F91"/>
    <w:rsid w:val="37904B06"/>
    <w:rsid w:val="3CA44C52"/>
    <w:rsid w:val="3CEF05D0"/>
    <w:rsid w:val="49AE62DF"/>
    <w:rsid w:val="4BEE5B09"/>
    <w:rsid w:val="518F15A4"/>
    <w:rsid w:val="52873CB1"/>
    <w:rsid w:val="563646F1"/>
    <w:rsid w:val="57482C0C"/>
    <w:rsid w:val="5944051E"/>
    <w:rsid w:val="5AD82371"/>
    <w:rsid w:val="5B6556FB"/>
    <w:rsid w:val="617B5387"/>
    <w:rsid w:val="63774997"/>
    <w:rsid w:val="67227C37"/>
    <w:rsid w:val="677732A1"/>
    <w:rsid w:val="717D7F5F"/>
    <w:rsid w:val="79237998"/>
    <w:rsid w:val="793829E4"/>
    <w:rsid w:val="7BCD3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61"/>
    <w:basedOn w:val="3"/>
    <w:qFormat/>
    <w:uiPriority w:val="0"/>
    <w:rPr>
      <w:rFonts w:hint="default" w:ascii="Times New Roman" w:hAnsi="Times New Roman" w:cs="Times New Roman"/>
      <w:color w:val="000000"/>
      <w:sz w:val="24"/>
      <w:szCs w:val="24"/>
      <w:u w:val="none"/>
    </w:rPr>
  </w:style>
  <w:style w:type="character" w:customStyle="1" w:styleId="5">
    <w:name w:val="font21"/>
    <w:basedOn w:val="3"/>
    <w:qFormat/>
    <w:uiPriority w:val="0"/>
    <w:rPr>
      <w:rFonts w:hint="eastAsia" w:ascii="宋体" w:hAnsi="宋体" w:eastAsia="宋体" w:cs="宋体"/>
      <w:color w:val="000000"/>
      <w:sz w:val="24"/>
      <w:szCs w:val="24"/>
      <w:u w:val="none"/>
    </w:rPr>
  </w:style>
  <w:style w:type="character" w:customStyle="1" w:styleId="6">
    <w:name w:val="font11"/>
    <w:basedOn w:val="3"/>
    <w:qFormat/>
    <w:uiPriority w:val="0"/>
    <w:rPr>
      <w:rFonts w:hint="eastAsia" w:ascii="宋体" w:hAnsi="宋体" w:eastAsia="宋体" w:cs="宋体"/>
      <w:color w:val="000000"/>
      <w:sz w:val="24"/>
      <w:szCs w:val="24"/>
      <w:u w:val="none"/>
    </w:rPr>
  </w:style>
  <w:style w:type="character" w:customStyle="1" w:styleId="7">
    <w:name w:val="font41"/>
    <w:basedOn w:val="3"/>
    <w:qFormat/>
    <w:uiPriority w:val="0"/>
    <w:rPr>
      <w:rFonts w:hint="default" w:ascii="Times New Roman" w:hAnsi="Times New Roman" w:cs="Times New Roman"/>
      <w:color w:val="000000"/>
      <w:sz w:val="24"/>
      <w:szCs w:val="24"/>
      <w:u w:val="none"/>
    </w:rPr>
  </w:style>
  <w:style w:type="character" w:customStyle="1" w:styleId="8">
    <w:name w:val="font31"/>
    <w:basedOn w:val="3"/>
    <w:qFormat/>
    <w:uiPriority w:val="0"/>
    <w:rPr>
      <w:rFonts w:hint="eastAsia" w:ascii="宋体" w:hAnsi="宋体" w:eastAsia="宋体" w:cs="宋体"/>
      <w:color w:val="000000"/>
      <w:sz w:val="24"/>
      <w:szCs w:val="24"/>
      <w:u w:val="none"/>
    </w:rPr>
  </w:style>
  <w:style w:type="character" w:customStyle="1" w:styleId="9">
    <w:name w:val="font01"/>
    <w:basedOn w:val="3"/>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1886</Words>
  <Characters>2015</Characters>
  <Lines>0</Lines>
  <Paragraphs>0</Paragraphs>
  <TotalTime>2</TotalTime>
  <ScaleCrop>false</ScaleCrop>
  <LinksUpToDate>false</LinksUpToDate>
  <CharactersWithSpaces>2106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2025-11-17T10:12:00Z</dcterms:created>
  <dc:creator>Administrator</dc:creator>
  <cp:lastModifiedBy>刘芸</cp:lastModifiedBy>
  <dcterms:modified xsi:type="dcterms:W3CDTF">2026-01-27T03:26:42Z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6DB75174FA1B4490A1A54118FA0AC036</vt:lpwstr>
  </property>
  <property fmtid="{D5CDD505-2E9C-101B-9397-08002B2CF9AE}" pid="4" name="KSOTemplateDocerSaveRecord">
    <vt:lpwstr>eyJoZGlkIjoiOTNlZTI5ZWQwNGFjZTM3YWM2ODZkNTYyMzRhMmU2OWIiLCJ1c2VySWQiOiIyODA1ODQ5OTQifQ==</vt:lpwstr>
  </property>
</Properties>
</file>